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5" w:rsidRDefault="00526145" w:rsidP="00526145">
      <w:pPr>
        <w:bidi/>
        <w:spacing w:line="360" w:lineRule="auto"/>
        <w:ind w:right="-567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الاجابة النموذجية لامتحان الاطر القانونية و التشريعية في علم الآثار  (الاستاذ بن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سعيداني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يوسف)</w:t>
      </w:r>
    </w:p>
    <w:p w:rsidR="006736AD" w:rsidRPr="006736AD" w:rsidRDefault="006736AD" w:rsidP="00526145">
      <w:pPr>
        <w:bidi/>
        <w:spacing w:line="360" w:lineRule="auto"/>
        <w:ind w:right="-567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 w:rsidRPr="006736A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مراحل تسيير التراث الاثري في الجزائر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6736AD" w:rsidRPr="006736AD" w:rsidRDefault="006736AD" w:rsidP="006736AD">
      <w:pPr>
        <w:tabs>
          <w:tab w:val="left" w:pos="192"/>
        </w:tabs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كان التراث الاثري ابان الفترة الاستعمارية خاضع لتسيير المصالح العسكرية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الفرنسية،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ليتم نقل هذا التسيير الى المصالح المدنية المتمثلة في مديرية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الداخلية،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الفنون الجميلة تحت وصاية الحاكم العام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للجزائر،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قد خضع التراث لأحكام قانون المحتل الفرنسي ابتداء من القانون المؤرخ في 30 مارس 1887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المتعلق بحفظ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المعالم،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الاشياء التي لها قيمة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تاريخية،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فنية</w:t>
      </w:r>
      <w:r w:rsidRPr="006736AD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يليه مرسوم آخر مؤرخ في 14 سبتمبر 1925 ،و المتعلق بالآثار التاريخية الموجودة في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الجزائر،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المتضمن تطبيق القانون الفرنسي الصادر بتاريخ 31 ديسمبر 1913 الذي وضع نظام اكثر دقة و صرامة بشأن المعالم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التاريخية،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غير ان تطبيق هذا القانون لا يتماشى مع طبيعة المعالم الاثرية المتواجدة في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الجزائر،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لأنه قانون خاص بالمعالم التاريخية الفرنسية مثل القصور و الكنائس.</w:t>
      </w:r>
    </w:p>
    <w:p w:rsidR="006736AD" w:rsidRPr="006736AD" w:rsidRDefault="006736AD" w:rsidP="006736AD">
      <w:pPr>
        <w:tabs>
          <w:tab w:val="left" w:pos="192"/>
        </w:tabs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بتاريخ 27 سبتمبر 1941 صدر قانون متعلق بتنظيم الحفريات الاثرية تحت اشراف السيد </w:t>
      </w:r>
      <w:r w:rsidRPr="006736AD">
        <w:rPr>
          <w:rFonts w:asciiTheme="majorBidi" w:hAnsiTheme="majorBidi" w:cstheme="majorBidi"/>
          <w:sz w:val="24"/>
          <w:szCs w:val="24"/>
          <w:lang w:bidi="ar-DZ"/>
        </w:rPr>
        <w:t>Jérôme Carcopino</w:t>
      </w: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،و المدعم بالمرسوم المؤرخ في 09 فيفري 1942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والقرار المؤرخ في 07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افريل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1945،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تزامنا مع ذلك تم انشاء مصالح اثرية مهمتها مراقبة المساحات      و المواقع الاثرية.</w:t>
      </w:r>
    </w:p>
    <w:p w:rsidR="006736AD" w:rsidRPr="006736AD" w:rsidRDefault="006736AD" w:rsidP="006736AD">
      <w:pPr>
        <w:tabs>
          <w:tab w:val="left" w:pos="192"/>
        </w:tabs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استمر العمل بهذه النصوص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القانونية،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التنظيمية الى غاية 1962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من العادي ان فكرة الاهتمام بالتراث الاثري لم تكن من اولى المجالات التي اهتمت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بها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الدولة الجزائرية بعد الاستقلال حيث اكتفت بتمديد مفعول التشريع الجزائري إلا ما يتعارض مع السيادة الوطنية  بموجب القانون 62-157 المؤرخ في 31 ديسمبر 1962.</w:t>
      </w:r>
    </w:p>
    <w:p w:rsidR="006736AD" w:rsidRPr="006736AD" w:rsidRDefault="006736AD" w:rsidP="006736AD">
      <w:pPr>
        <w:tabs>
          <w:tab w:val="left" w:pos="192"/>
        </w:tabs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في سنة 1967 اسندت مهمة صياغة اول نص قانوني للتراث الثقافي لعالم</w:t>
      </w:r>
      <w:r w:rsidRPr="006736A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الاثار الفرنسية </w:t>
      </w:r>
      <w:r w:rsidRPr="006736AD">
        <w:rPr>
          <w:rFonts w:asciiTheme="majorBidi" w:hAnsiTheme="majorBidi" w:cstheme="majorBidi"/>
          <w:sz w:val="24"/>
          <w:szCs w:val="24"/>
          <w:lang w:bidi="ar-DZ"/>
        </w:rPr>
        <w:t xml:space="preserve">Albert février </w:t>
      </w: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حيث اكتفى بالرجوع الى نصيين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تشريعيين،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صياغتهما في نص قانوني جديد يحمل 138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مادة،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افرغه في وعاء الامر 67-281 المؤرخ في 20 ديسمبر 1967 المتعلق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بالحفريات،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حماية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الاثار،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الاماكن التاريخية.</w:t>
      </w:r>
    </w:p>
    <w:p w:rsidR="006736AD" w:rsidRPr="006736AD" w:rsidRDefault="006736AD" w:rsidP="006736AD">
      <w:pPr>
        <w:tabs>
          <w:tab w:val="left" w:pos="192"/>
        </w:tabs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بعد الامر 67-281 صدر المرسوم 69-82 المؤرخ في 13 جوان 1969 المتعلق بتصدير الاشياء ذات الفائدة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الوطنية،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الناحية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التاريخية،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الفنية،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الاثرية،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الذي يمنع اي تصدير للممتلك يهم زمن ما قبل التاريخ او علم الاثار إلا بموجب اذن من الوزير المكلف بالفنون.</w:t>
      </w:r>
      <w:r w:rsidRPr="006736AD">
        <w:rPr>
          <w:rStyle w:val="Appelnotedebasdep"/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رغم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هاته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الاجراءات القانونية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الا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ان غياب السياسة التطبيقية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للامر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67-281 ترتب عليه فراغ قانوني ادى الى التعدي على المعالم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الاثرية،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سرقة التحف الاثرية.</w:t>
      </w:r>
    </w:p>
    <w:p w:rsidR="006736AD" w:rsidRPr="006736AD" w:rsidRDefault="006736AD" w:rsidP="006736AD">
      <w:pPr>
        <w:tabs>
          <w:tab w:val="left" w:pos="192"/>
        </w:tabs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بموجب المرسوم 10-87 و المؤرخ في سنة 1987 تم انشاء الوكالة الوطنية للآثار     وحماية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المعالم،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والنصب التاريخية حيث كان مهمتها المتابعة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الميدانية،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والإدارية لمشاريع صيانة المواقع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الاثرية،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والبنايات التاريخية. </w:t>
      </w:r>
    </w:p>
    <w:p w:rsidR="006736AD" w:rsidRPr="006736AD" w:rsidRDefault="006736AD" w:rsidP="006736AD">
      <w:pPr>
        <w:tabs>
          <w:tab w:val="left" w:pos="192"/>
        </w:tabs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في 15 جوان 1998 تمت المصادقة على قانون حماية التراث الثقافي في الجزائر.مرت هذه المصادقة </w:t>
      </w:r>
      <w:proofErr w:type="gram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خلال</w:t>
      </w:r>
      <w:proofErr w:type="gram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عدة سنوات و عبر مراحل و ذلك منذ 1992 تاريخ اقتراح قانون جديد بحماية التراث الثقافي في الجزائر.</w:t>
      </w:r>
    </w:p>
    <w:p w:rsidR="006736AD" w:rsidRPr="006736AD" w:rsidRDefault="006736AD" w:rsidP="006736AD">
      <w:pPr>
        <w:tabs>
          <w:tab w:val="left" w:pos="192"/>
        </w:tabs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ارسل نص هذا القانون الى الحكومة سنة 1992 ثم اعيدت دراسته على مستوى وزارة الثقافة في سنة 1995 ثم على مستوى مجلس وزاري مشترك و امام المجلس الوطني سنة 1996 اين صودق عليه بالأغلبية المطلقة و عرض بعد ذلك في مارس 1997 في اجتماع مجلس الحكومة الذي تبنى الملف في اكتوبر 1998 صادق عليه مجلس الوزراء وعرض مشروع القانون على المجلس الشعبي الوطني مع لجنة الاعلان و الثقافة و الصيانة اين صودق عليه.</w:t>
      </w:r>
    </w:p>
    <w:p w:rsidR="006736AD" w:rsidRPr="006736AD" w:rsidRDefault="006736AD" w:rsidP="006736AD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736A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.</w:t>
      </w:r>
      <w:r w:rsidRPr="006736A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المؤسسات التي تعنى بحماية التراث الاثري في الجزائر:</w:t>
      </w:r>
    </w:p>
    <w:p w:rsidR="006736AD" w:rsidRPr="006736AD" w:rsidRDefault="006736AD" w:rsidP="006736AD">
      <w:pPr>
        <w:pStyle w:val="Paragraphedeliste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-المتاحف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مثل: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المتحف العمومي الوطني للآثار القديمة و الفنون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الاسلامية،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متحف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الباردو،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متحف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زبانة،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متحف سيرتا...</w:t>
      </w:r>
    </w:p>
    <w:p w:rsidR="006736AD" w:rsidRPr="006736AD" w:rsidRDefault="006736AD" w:rsidP="006736AD">
      <w:pPr>
        <w:pStyle w:val="Paragraphedeliste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الدواوين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مثل: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الديوان الوطني لاستغلال و تسيير الممتلكات الثقافية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المحمية،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ديوان حظيرة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الاهقار،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ديوان وادي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ميزاب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...</w:t>
      </w:r>
    </w:p>
    <w:p w:rsidR="006736AD" w:rsidRPr="006736AD" w:rsidRDefault="006736AD" w:rsidP="006736AD">
      <w:pPr>
        <w:pStyle w:val="Paragraphedeliste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المراكز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مثل: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المركز الوطنى للبحوث فى عصور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ماقبل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التاريخ وفى علم الإنسان و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التاريخ،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المركز الوطني للبحث في علم الاثار...</w:t>
      </w:r>
    </w:p>
    <w:p w:rsidR="006736AD" w:rsidRPr="006736AD" w:rsidRDefault="006736AD" w:rsidP="006736AD">
      <w:pPr>
        <w:pStyle w:val="Paragraphedeliste"/>
        <w:jc w:val="right"/>
        <w:rPr>
          <w:rFonts w:asciiTheme="majorBidi" w:hAnsiTheme="majorBidi" w:cstheme="majorBidi"/>
          <w:sz w:val="24"/>
          <w:szCs w:val="24"/>
          <w:rtl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الحظائر مثل: </w:t>
      </w:r>
      <w:hyperlink r:id="rId4" w:history="1">
        <w:r w:rsidRPr="006736AD">
          <w:rPr>
            <w:rFonts w:asciiTheme="majorBidi" w:eastAsia="Times New Roman" w:hAnsiTheme="majorBidi" w:cstheme="majorBidi"/>
            <w:sz w:val="24"/>
            <w:szCs w:val="24"/>
            <w:rtl/>
            <w:lang w:eastAsia="fr-FR"/>
          </w:rPr>
          <w:t xml:space="preserve">الحظيرة الثقافية </w:t>
        </w:r>
        <w:proofErr w:type="spellStart"/>
        <w:r w:rsidRPr="006736AD">
          <w:rPr>
            <w:rFonts w:asciiTheme="majorBidi" w:eastAsia="Times New Roman" w:hAnsiTheme="majorBidi" w:cstheme="majorBidi"/>
            <w:sz w:val="24"/>
            <w:szCs w:val="24"/>
            <w:rtl/>
            <w:lang w:eastAsia="fr-FR"/>
          </w:rPr>
          <w:t>لتوات-</w:t>
        </w:r>
        <w:proofErr w:type="spellEnd"/>
        <w:r w:rsidRPr="006736AD">
          <w:rPr>
            <w:rFonts w:asciiTheme="majorBidi" w:eastAsia="Times New Roman" w:hAnsiTheme="majorBidi" w:cstheme="majorBidi"/>
            <w:sz w:val="24"/>
            <w:szCs w:val="24"/>
            <w:rtl/>
            <w:lang w:eastAsia="fr-FR"/>
          </w:rPr>
          <w:t xml:space="preserve"> </w:t>
        </w:r>
        <w:proofErr w:type="spellStart"/>
        <w:r w:rsidRPr="006736AD">
          <w:rPr>
            <w:rFonts w:asciiTheme="majorBidi" w:eastAsia="Times New Roman" w:hAnsiTheme="majorBidi" w:cstheme="majorBidi"/>
            <w:sz w:val="24"/>
            <w:szCs w:val="24"/>
            <w:rtl/>
            <w:lang w:eastAsia="fr-FR"/>
          </w:rPr>
          <w:t>فورارة</w:t>
        </w:r>
        <w:proofErr w:type="spellEnd"/>
        <w:r w:rsidRPr="006736AD">
          <w:rPr>
            <w:rFonts w:asciiTheme="majorBidi" w:eastAsia="Times New Roman" w:hAnsiTheme="majorBidi" w:cstheme="majorBidi"/>
            <w:sz w:val="24"/>
            <w:szCs w:val="24"/>
            <w:rtl/>
            <w:lang w:eastAsia="fr-FR"/>
          </w:rPr>
          <w:t xml:space="preserve"> </w:t>
        </w:r>
        <w:proofErr w:type="spellStart"/>
        <w:r w:rsidRPr="006736AD">
          <w:rPr>
            <w:rFonts w:asciiTheme="majorBidi" w:eastAsia="Times New Roman" w:hAnsiTheme="majorBidi" w:cstheme="majorBidi"/>
            <w:sz w:val="24"/>
            <w:szCs w:val="24"/>
            <w:rtl/>
            <w:lang w:eastAsia="fr-FR"/>
          </w:rPr>
          <w:t>تديكلت</w:t>
        </w:r>
      </w:hyperlink>
      <w:r w:rsidRPr="006736AD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</w:rPr>
        <w:t xml:space="preserve"> </w:t>
      </w:r>
      <w:hyperlink r:id="rId5" w:history="1">
        <w:r w:rsidRPr="006736AD">
          <w:rPr>
            <w:rFonts w:asciiTheme="majorBidi" w:eastAsia="Times New Roman" w:hAnsiTheme="majorBidi" w:cstheme="majorBidi"/>
            <w:sz w:val="24"/>
            <w:szCs w:val="24"/>
            <w:rtl/>
            <w:lang w:eastAsia="fr-FR"/>
          </w:rPr>
          <w:t>الحظيرة الثقافية للأطلس الصحراوي</w:t>
        </w:r>
      </w:hyperlink>
    </w:p>
    <w:p w:rsidR="006736AD" w:rsidRPr="006736AD" w:rsidRDefault="006736AD" w:rsidP="006736AD">
      <w:pPr>
        <w:bidi/>
        <w:spacing w:after="0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fr-FR"/>
        </w:rPr>
      </w:pPr>
      <w:proofErr w:type="gramStart"/>
      <w:r w:rsidRPr="006736A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تعريف</w:t>
      </w:r>
      <w:proofErr w:type="gramEnd"/>
      <w:r w:rsidRPr="006736A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الممتلكات الثقافية المنقولة:</w:t>
      </w:r>
      <w:r w:rsidRPr="006736A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fr-FR"/>
        </w:rPr>
        <w:t xml:space="preserve"> تشمل الممتلكات الثقافية المنقولة</w:t>
      </w:r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eastAsia="fr-FR"/>
        </w:rPr>
        <w:t>:</w:t>
      </w:r>
    </w:p>
    <w:p w:rsidR="006736AD" w:rsidRPr="006736AD" w:rsidRDefault="006736AD" w:rsidP="006736AD">
      <w:pPr>
        <w:bidi/>
        <w:spacing w:after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lastRenderedPageBreak/>
        <w:t>ناتج الاستكشافات و الأبحاث الأثرية في البر و تحت الما</w:t>
      </w:r>
      <w:r w:rsidRPr="006736AD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>ء</w:t>
      </w:r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  </w:t>
      </w:r>
      <w:proofErr w:type="spellStart"/>
      <w:r w:rsidRPr="006736AD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>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الأشياء العتيقة مثل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الأدوات،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المصنوعات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الخزفية،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الكتابات،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العملات،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الأختام،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الحلي و الألبسة التقليدية و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الأسلحة,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بقايا المدافن العناصر الناجمة عن تجزئة المعالم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التاريخية</w:t>
      </w:r>
      <w:r w:rsidRPr="006736AD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>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المعدات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الانتروبولوجية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الاثنولوجية،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الممتلكات الثقافية المتصلة بالدين و بتاريخ العلوم و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التقنيات،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تاريخ التطور الاجتماعي و الاقتصادي و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السياسياللوحات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الزيتية و الرسوم المنجزة كاملة باليد على أية دعامة من أية مادة كانت،</w:t>
      </w:r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  </w:t>
      </w:r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الرسومات الأصلية</w:t>
      </w:r>
      <w:r w:rsidRPr="006736AD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 xml:space="preserve">   </w:t>
      </w:r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و الملصقات و الصور الفوتوغرافية باعتبارها وسيلة للإيداع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الأصيل،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تحف الفن التطبيقى فى مواد مثل الزجاج و الخزف و المعدن و الخشب.....</w:t>
      </w:r>
      <w:proofErr w:type="spellStart"/>
      <w:proofErr w:type="gram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الخ</w:t>
      </w:r>
      <w:proofErr w:type="gram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المخطوطات و المطبوعات طباعة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استهلالية،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الكتب</w:t>
      </w:r>
      <w:r w:rsidRPr="006736AD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 xml:space="preserve">    </w:t>
      </w:r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الوثائق والمنشورات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المسكوكات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(أوسمة و قطع نقدية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)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أو الطوابع البريدية</w:t>
      </w:r>
      <w:r w:rsidRPr="006736AD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 xml:space="preserve"> </w:t>
      </w:r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وثائق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الأرشيف</w:t>
      </w:r>
      <w:r w:rsidRPr="006736AD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>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تسجيلات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النصوص،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والخرائط والصور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الفوتوغرافية،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الأفلام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السينمائية،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المسجلات </w:t>
      </w:r>
      <w:proofErr w:type="spellStart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السمعية،</w:t>
      </w:r>
      <w:proofErr w:type="spellEnd"/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 الوثائق التي تقرأ عن طريق الآلة</w:t>
      </w:r>
      <w:r w:rsidRPr="006736A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</w:p>
    <w:p w:rsidR="006736AD" w:rsidRPr="006736AD" w:rsidRDefault="006736AD" w:rsidP="006736AD">
      <w:pPr>
        <w:bidi/>
        <w:spacing w:after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</w:pPr>
    </w:p>
    <w:p w:rsidR="006736AD" w:rsidRPr="006736AD" w:rsidRDefault="006736AD" w:rsidP="006736AD">
      <w:pPr>
        <w:bidi/>
        <w:spacing w:after="0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fr-FR"/>
        </w:rPr>
      </w:pPr>
      <w:r w:rsidRPr="006736A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ينص مضمون الفصل الثاني من الباب الثاني</w:t>
      </w:r>
      <w:r w:rsidRPr="006736A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proofErr w:type="gramStart"/>
      <w:r w:rsidRPr="006736A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على</w:t>
      </w:r>
      <w:proofErr w:type="gramEnd"/>
      <w:r w:rsidRPr="006736A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proofErr w:type="spellEnd"/>
      <w:r w:rsidRPr="006736A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</w:p>
    <w:p w:rsidR="006736AD" w:rsidRDefault="006736AD" w:rsidP="006736AD">
      <w:pPr>
        <w:bidi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تصنيف الممتلكات الثقافية العقارية و إجراءات التصنيف 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بالاضافة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الى تعريف المعالم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التاريخية،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وضبط اجراءات اشغال الحفظ و الترميم و شغلها و </w:t>
      </w:r>
      <w:proofErr w:type="spellStart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>كيفيات</w:t>
      </w:r>
      <w:proofErr w:type="spellEnd"/>
      <w:r w:rsidRPr="006736A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إعداد مخطط حماية و استصلاح المواقع الاثرية و المنطقة المحمية التابعة  لها.</w:t>
      </w:r>
    </w:p>
    <w:p w:rsidR="006736AD" w:rsidRPr="006736AD" w:rsidRDefault="006736AD" w:rsidP="006736AD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736AD" w:rsidRDefault="006736AD" w:rsidP="006736AD">
      <w:pPr>
        <w:bidi/>
        <w:spacing w:line="240" w:lineRule="auto"/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تعريف </w:t>
      </w:r>
      <w:r w:rsidRPr="00883F25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اتفاقية لاهاي لحماية الملكية الثقافية في حالة النزاع المسلح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r w:rsidRPr="00883F2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6736AD" w:rsidRPr="006736AD" w:rsidRDefault="006736AD" w:rsidP="006736AD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6736A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اتفاقية لاهاي لحماية الملكية الثقافية في حالة النزاع المسلح</w:t>
      </w:r>
      <w:r w:rsidRPr="006736AD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r w:rsidRPr="006736A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هي معاهدة دولية تم التوقيع عليها في 14 مايو عام 1954 في</w:t>
      </w:r>
      <w:r w:rsidRPr="006736AD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hyperlink r:id="rId6" w:tooltip="لاهاي" w:history="1">
        <w:proofErr w:type="spellStart"/>
        <w:r w:rsidRPr="006736AD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rtl/>
          </w:rPr>
          <w:t>مدينةلاهاي</w:t>
        </w:r>
      </w:hyperlink>
      <w:r w:rsidRPr="006736A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proofErr w:type="spellEnd"/>
      <w:r w:rsidRPr="006736A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في</w:t>
      </w:r>
      <w:r w:rsidRPr="006736AD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hyperlink r:id="rId7" w:tooltip="هولندا" w:history="1">
        <w:r w:rsidRPr="006736AD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rtl/>
          </w:rPr>
          <w:t>هولندا</w:t>
        </w:r>
      </w:hyperlink>
      <w:r w:rsidRPr="006736A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ودخلت حيز التنفيذ في 7 أوت  1956</w:t>
      </w:r>
    </w:p>
    <w:p w:rsidR="0050185F" w:rsidRPr="006736AD" w:rsidRDefault="0050185F" w:rsidP="006736AD">
      <w:pPr>
        <w:bidi/>
        <w:rPr>
          <w:rFonts w:asciiTheme="majorBidi" w:hAnsiTheme="majorBidi" w:cstheme="majorBidi"/>
          <w:sz w:val="24"/>
          <w:szCs w:val="24"/>
        </w:rPr>
      </w:pPr>
    </w:p>
    <w:sectPr w:rsidR="0050185F" w:rsidRPr="006736AD" w:rsidSect="0050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736AD"/>
    <w:rsid w:val="00014951"/>
    <w:rsid w:val="0002293A"/>
    <w:rsid w:val="00044408"/>
    <w:rsid w:val="00070C01"/>
    <w:rsid w:val="00074BB1"/>
    <w:rsid w:val="00083AE6"/>
    <w:rsid w:val="0009170A"/>
    <w:rsid w:val="00092173"/>
    <w:rsid w:val="00094217"/>
    <w:rsid w:val="000A0004"/>
    <w:rsid w:val="000A210C"/>
    <w:rsid w:val="000A49F7"/>
    <w:rsid w:val="000B3E7A"/>
    <w:rsid w:val="000C70B0"/>
    <w:rsid w:val="000C72A0"/>
    <w:rsid w:val="000D1CF5"/>
    <w:rsid w:val="000D6427"/>
    <w:rsid w:val="000F195C"/>
    <w:rsid w:val="00106165"/>
    <w:rsid w:val="00106B40"/>
    <w:rsid w:val="00111BCA"/>
    <w:rsid w:val="001202C7"/>
    <w:rsid w:val="00120DF1"/>
    <w:rsid w:val="0012200E"/>
    <w:rsid w:val="00127830"/>
    <w:rsid w:val="0013588D"/>
    <w:rsid w:val="0013733C"/>
    <w:rsid w:val="001434CB"/>
    <w:rsid w:val="0014351D"/>
    <w:rsid w:val="0015333F"/>
    <w:rsid w:val="00164C09"/>
    <w:rsid w:val="00164FD9"/>
    <w:rsid w:val="00181461"/>
    <w:rsid w:val="001A2FA5"/>
    <w:rsid w:val="001B636D"/>
    <w:rsid w:val="001D483E"/>
    <w:rsid w:val="001D5726"/>
    <w:rsid w:val="001F74B0"/>
    <w:rsid w:val="002069E7"/>
    <w:rsid w:val="002103F6"/>
    <w:rsid w:val="00215612"/>
    <w:rsid w:val="00217982"/>
    <w:rsid w:val="00220D7C"/>
    <w:rsid w:val="00227BDC"/>
    <w:rsid w:val="002301C3"/>
    <w:rsid w:val="00261995"/>
    <w:rsid w:val="00264F6F"/>
    <w:rsid w:val="0028071F"/>
    <w:rsid w:val="00290F29"/>
    <w:rsid w:val="002915B6"/>
    <w:rsid w:val="00295208"/>
    <w:rsid w:val="00296303"/>
    <w:rsid w:val="002A254F"/>
    <w:rsid w:val="002A7927"/>
    <w:rsid w:val="002A7FEB"/>
    <w:rsid w:val="002C3A8A"/>
    <w:rsid w:val="002C4191"/>
    <w:rsid w:val="002C487B"/>
    <w:rsid w:val="002F0E0D"/>
    <w:rsid w:val="002F1E89"/>
    <w:rsid w:val="002F4F5E"/>
    <w:rsid w:val="00302B45"/>
    <w:rsid w:val="00317E1B"/>
    <w:rsid w:val="00326627"/>
    <w:rsid w:val="003350B4"/>
    <w:rsid w:val="003353C0"/>
    <w:rsid w:val="00346D5A"/>
    <w:rsid w:val="003505FB"/>
    <w:rsid w:val="00354ED5"/>
    <w:rsid w:val="0035723F"/>
    <w:rsid w:val="00367EA8"/>
    <w:rsid w:val="003748EA"/>
    <w:rsid w:val="003A2DB5"/>
    <w:rsid w:val="003A5AE4"/>
    <w:rsid w:val="003A702D"/>
    <w:rsid w:val="003B66A5"/>
    <w:rsid w:val="003C5C95"/>
    <w:rsid w:val="003E0BCF"/>
    <w:rsid w:val="003F78AB"/>
    <w:rsid w:val="004020AF"/>
    <w:rsid w:val="00403461"/>
    <w:rsid w:val="004035B4"/>
    <w:rsid w:val="00407EA7"/>
    <w:rsid w:val="00410476"/>
    <w:rsid w:val="004127F4"/>
    <w:rsid w:val="0041481F"/>
    <w:rsid w:val="00414DF3"/>
    <w:rsid w:val="00421F58"/>
    <w:rsid w:val="00425500"/>
    <w:rsid w:val="0043292C"/>
    <w:rsid w:val="00433A9C"/>
    <w:rsid w:val="00450112"/>
    <w:rsid w:val="00455386"/>
    <w:rsid w:val="00456A94"/>
    <w:rsid w:val="00457E54"/>
    <w:rsid w:val="00463AB9"/>
    <w:rsid w:val="00471173"/>
    <w:rsid w:val="0048545B"/>
    <w:rsid w:val="00485B80"/>
    <w:rsid w:val="004A41F7"/>
    <w:rsid w:val="004B58C6"/>
    <w:rsid w:val="004C7D20"/>
    <w:rsid w:val="004D0260"/>
    <w:rsid w:val="004E2B7A"/>
    <w:rsid w:val="004F09C7"/>
    <w:rsid w:val="0050185F"/>
    <w:rsid w:val="00526145"/>
    <w:rsid w:val="005324F3"/>
    <w:rsid w:val="00537C18"/>
    <w:rsid w:val="00537CD5"/>
    <w:rsid w:val="00540B3D"/>
    <w:rsid w:val="00555CED"/>
    <w:rsid w:val="00557A11"/>
    <w:rsid w:val="00563B78"/>
    <w:rsid w:val="00564D71"/>
    <w:rsid w:val="005736BF"/>
    <w:rsid w:val="00576F8A"/>
    <w:rsid w:val="0058411D"/>
    <w:rsid w:val="005865CE"/>
    <w:rsid w:val="005923BA"/>
    <w:rsid w:val="005934B7"/>
    <w:rsid w:val="005D60B7"/>
    <w:rsid w:val="005D6207"/>
    <w:rsid w:val="005E5610"/>
    <w:rsid w:val="00605597"/>
    <w:rsid w:val="00611B0E"/>
    <w:rsid w:val="006132FC"/>
    <w:rsid w:val="0061766C"/>
    <w:rsid w:val="00625804"/>
    <w:rsid w:val="006543B5"/>
    <w:rsid w:val="00665372"/>
    <w:rsid w:val="00667662"/>
    <w:rsid w:val="006736AD"/>
    <w:rsid w:val="006742E4"/>
    <w:rsid w:val="006808CC"/>
    <w:rsid w:val="00682D63"/>
    <w:rsid w:val="00684F18"/>
    <w:rsid w:val="00693D48"/>
    <w:rsid w:val="00697593"/>
    <w:rsid w:val="006A25D7"/>
    <w:rsid w:val="006A7256"/>
    <w:rsid w:val="006B349C"/>
    <w:rsid w:val="006B5ACB"/>
    <w:rsid w:val="006B6042"/>
    <w:rsid w:val="006B7BE5"/>
    <w:rsid w:val="006B7DA4"/>
    <w:rsid w:val="006C06CA"/>
    <w:rsid w:val="006C783F"/>
    <w:rsid w:val="006D2C18"/>
    <w:rsid w:val="006E4105"/>
    <w:rsid w:val="006F4559"/>
    <w:rsid w:val="006F5052"/>
    <w:rsid w:val="006F7E33"/>
    <w:rsid w:val="00705B5E"/>
    <w:rsid w:val="007155D0"/>
    <w:rsid w:val="00734107"/>
    <w:rsid w:val="00745B93"/>
    <w:rsid w:val="00750F9E"/>
    <w:rsid w:val="0075480F"/>
    <w:rsid w:val="00755E02"/>
    <w:rsid w:val="007640B4"/>
    <w:rsid w:val="00773FD7"/>
    <w:rsid w:val="00776D0C"/>
    <w:rsid w:val="00776EF9"/>
    <w:rsid w:val="00781FF0"/>
    <w:rsid w:val="00784358"/>
    <w:rsid w:val="007A3520"/>
    <w:rsid w:val="007A4DF8"/>
    <w:rsid w:val="007B2637"/>
    <w:rsid w:val="007D6AB9"/>
    <w:rsid w:val="007E0504"/>
    <w:rsid w:val="007F0E71"/>
    <w:rsid w:val="007F7BCE"/>
    <w:rsid w:val="00813C8B"/>
    <w:rsid w:val="0081580E"/>
    <w:rsid w:val="00817346"/>
    <w:rsid w:val="00817E92"/>
    <w:rsid w:val="008205C2"/>
    <w:rsid w:val="00833FD6"/>
    <w:rsid w:val="008400A8"/>
    <w:rsid w:val="008451C7"/>
    <w:rsid w:val="00860933"/>
    <w:rsid w:val="008728BD"/>
    <w:rsid w:val="00877FFE"/>
    <w:rsid w:val="00881740"/>
    <w:rsid w:val="00892977"/>
    <w:rsid w:val="008932EE"/>
    <w:rsid w:val="00894E46"/>
    <w:rsid w:val="00895BA3"/>
    <w:rsid w:val="00897E28"/>
    <w:rsid w:val="008A1075"/>
    <w:rsid w:val="008A7A6A"/>
    <w:rsid w:val="008B4779"/>
    <w:rsid w:val="008C217B"/>
    <w:rsid w:val="008E03B0"/>
    <w:rsid w:val="008F267D"/>
    <w:rsid w:val="00902906"/>
    <w:rsid w:val="009041C4"/>
    <w:rsid w:val="009044CD"/>
    <w:rsid w:val="00912AB9"/>
    <w:rsid w:val="00925886"/>
    <w:rsid w:val="00934B0B"/>
    <w:rsid w:val="009370D8"/>
    <w:rsid w:val="00947847"/>
    <w:rsid w:val="00953116"/>
    <w:rsid w:val="009533D7"/>
    <w:rsid w:val="00957F60"/>
    <w:rsid w:val="00971EBB"/>
    <w:rsid w:val="00972D93"/>
    <w:rsid w:val="0098560B"/>
    <w:rsid w:val="009868A0"/>
    <w:rsid w:val="009905E0"/>
    <w:rsid w:val="009B1DA5"/>
    <w:rsid w:val="009B4220"/>
    <w:rsid w:val="009C797A"/>
    <w:rsid w:val="009D6B07"/>
    <w:rsid w:val="009E6806"/>
    <w:rsid w:val="009E7D6F"/>
    <w:rsid w:val="00A03124"/>
    <w:rsid w:val="00A3471B"/>
    <w:rsid w:val="00A422CA"/>
    <w:rsid w:val="00A4468C"/>
    <w:rsid w:val="00A47420"/>
    <w:rsid w:val="00A56FB5"/>
    <w:rsid w:val="00A62B03"/>
    <w:rsid w:val="00A75FBE"/>
    <w:rsid w:val="00A84AFC"/>
    <w:rsid w:val="00A946F1"/>
    <w:rsid w:val="00AA1C2E"/>
    <w:rsid w:val="00AA5C62"/>
    <w:rsid w:val="00AB32A1"/>
    <w:rsid w:val="00AB4387"/>
    <w:rsid w:val="00AC2224"/>
    <w:rsid w:val="00AD6524"/>
    <w:rsid w:val="00AF1B79"/>
    <w:rsid w:val="00B01B64"/>
    <w:rsid w:val="00B131D5"/>
    <w:rsid w:val="00B17A39"/>
    <w:rsid w:val="00B320F2"/>
    <w:rsid w:val="00B359C1"/>
    <w:rsid w:val="00B40347"/>
    <w:rsid w:val="00B419F1"/>
    <w:rsid w:val="00B42838"/>
    <w:rsid w:val="00B429CA"/>
    <w:rsid w:val="00B43449"/>
    <w:rsid w:val="00B47E20"/>
    <w:rsid w:val="00B51CCB"/>
    <w:rsid w:val="00B527C5"/>
    <w:rsid w:val="00B61B4E"/>
    <w:rsid w:val="00B66E6F"/>
    <w:rsid w:val="00B67B9A"/>
    <w:rsid w:val="00B73F03"/>
    <w:rsid w:val="00B840DC"/>
    <w:rsid w:val="00B94BBA"/>
    <w:rsid w:val="00B960EB"/>
    <w:rsid w:val="00BB0F1C"/>
    <w:rsid w:val="00BB347C"/>
    <w:rsid w:val="00BC4C71"/>
    <w:rsid w:val="00BD0438"/>
    <w:rsid w:val="00BE2A55"/>
    <w:rsid w:val="00BE2BF4"/>
    <w:rsid w:val="00BE634B"/>
    <w:rsid w:val="00C03AD0"/>
    <w:rsid w:val="00C059AE"/>
    <w:rsid w:val="00C05FBD"/>
    <w:rsid w:val="00C130B4"/>
    <w:rsid w:val="00C405A0"/>
    <w:rsid w:val="00C419ED"/>
    <w:rsid w:val="00C43694"/>
    <w:rsid w:val="00C51FF6"/>
    <w:rsid w:val="00C7387D"/>
    <w:rsid w:val="00C83353"/>
    <w:rsid w:val="00C86CDB"/>
    <w:rsid w:val="00C90B38"/>
    <w:rsid w:val="00C9755F"/>
    <w:rsid w:val="00CE2533"/>
    <w:rsid w:val="00CF0A18"/>
    <w:rsid w:val="00D002B9"/>
    <w:rsid w:val="00D04F9C"/>
    <w:rsid w:val="00D073DA"/>
    <w:rsid w:val="00D204F9"/>
    <w:rsid w:val="00D2782A"/>
    <w:rsid w:val="00D41843"/>
    <w:rsid w:val="00D4420D"/>
    <w:rsid w:val="00D466C5"/>
    <w:rsid w:val="00D97EAF"/>
    <w:rsid w:val="00DB2AAD"/>
    <w:rsid w:val="00DB3804"/>
    <w:rsid w:val="00DB6F55"/>
    <w:rsid w:val="00DC1135"/>
    <w:rsid w:val="00DC1527"/>
    <w:rsid w:val="00DC2909"/>
    <w:rsid w:val="00DE4805"/>
    <w:rsid w:val="00E017AE"/>
    <w:rsid w:val="00E03AC1"/>
    <w:rsid w:val="00E1088F"/>
    <w:rsid w:val="00E10983"/>
    <w:rsid w:val="00E27924"/>
    <w:rsid w:val="00E34D95"/>
    <w:rsid w:val="00E415CD"/>
    <w:rsid w:val="00E427CA"/>
    <w:rsid w:val="00E55D84"/>
    <w:rsid w:val="00E64F9C"/>
    <w:rsid w:val="00E67D0C"/>
    <w:rsid w:val="00E93241"/>
    <w:rsid w:val="00E953D7"/>
    <w:rsid w:val="00EA0157"/>
    <w:rsid w:val="00EA44AA"/>
    <w:rsid w:val="00EA6108"/>
    <w:rsid w:val="00EC0957"/>
    <w:rsid w:val="00ED41C1"/>
    <w:rsid w:val="00ED5C17"/>
    <w:rsid w:val="00ED5D0A"/>
    <w:rsid w:val="00EE5F49"/>
    <w:rsid w:val="00F06066"/>
    <w:rsid w:val="00F06F3D"/>
    <w:rsid w:val="00F1452E"/>
    <w:rsid w:val="00F16CDD"/>
    <w:rsid w:val="00F36A9C"/>
    <w:rsid w:val="00F36F05"/>
    <w:rsid w:val="00F37B9F"/>
    <w:rsid w:val="00F43825"/>
    <w:rsid w:val="00F444B8"/>
    <w:rsid w:val="00F44FD5"/>
    <w:rsid w:val="00F671EC"/>
    <w:rsid w:val="00F72644"/>
    <w:rsid w:val="00F74412"/>
    <w:rsid w:val="00F7759B"/>
    <w:rsid w:val="00FB0FFE"/>
    <w:rsid w:val="00FB40F1"/>
    <w:rsid w:val="00FC1C88"/>
    <w:rsid w:val="00FC5798"/>
    <w:rsid w:val="00FD27BE"/>
    <w:rsid w:val="00FD31D1"/>
    <w:rsid w:val="00FD335C"/>
    <w:rsid w:val="00FE5D3C"/>
    <w:rsid w:val="00FF056D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6736A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36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36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.wikipedia.org/wiki/%D9%87%D9%88%D9%84%D9%86%D8%AF%D8%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9%84%D8%A7%D9%87%D8%A7%D9%8A" TargetMode="External"/><Relationship Id="rId5" Type="http://schemas.openxmlformats.org/officeDocument/2006/relationships/hyperlink" Target="http://www.m-culture.gov.dz/mc2/ar/parcs.php" TargetMode="External"/><Relationship Id="rId4" Type="http://schemas.openxmlformats.org/officeDocument/2006/relationships/hyperlink" Target="http://www.m-culture.gov.dz/mc2/ar/parcs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784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Crash</dc:creator>
  <cp:keywords/>
  <dc:description/>
  <cp:lastModifiedBy>Crash</cp:lastModifiedBy>
  <cp:revision>3</cp:revision>
  <dcterms:created xsi:type="dcterms:W3CDTF">2024-01-08T19:33:00Z</dcterms:created>
  <dcterms:modified xsi:type="dcterms:W3CDTF">2024-01-08T19:42:00Z</dcterms:modified>
</cp:coreProperties>
</file>